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F27FDA" w14:textId="464BC328" w:rsidR="006A6017" w:rsidRPr="006A6017" w:rsidRDefault="006A6017" w:rsidP="006A6017">
      <w:pPr>
        <w:rPr>
          <w:b/>
          <w:bCs/>
        </w:rPr>
      </w:pPr>
      <w:bookmarkStart w:id="0" w:name="_Hlk125991922"/>
      <w:r w:rsidRPr="006A6017">
        <w:rPr>
          <w:b/>
          <w:bCs/>
        </w:rPr>
        <w:t xml:space="preserve">The chart below shows the percentage of households in owned and rented accommodation in England and Wales between 1918 and 2011. </w:t>
      </w:r>
    </w:p>
    <w:bookmarkEnd w:id="0"/>
    <w:p w14:paraId="781FA988" w14:textId="77777777" w:rsidR="006A6017" w:rsidRPr="006A6017" w:rsidRDefault="006A6017" w:rsidP="006A6017">
      <w:pPr>
        <w:rPr>
          <w:b/>
          <w:bCs/>
        </w:rPr>
      </w:pPr>
      <w:r w:rsidRPr="006A6017">
        <w:rPr>
          <w:b/>
          <w:bCs/>
        </w:rPr>
        <w:t xml:space="preserve">Summarize the information by selecting and reporting the main features and make comparisons where relevant. </w:t>
      </w:r>
    </w:p>
    <w:p w14:paraId="71B7B05A" w14:textId="77777777" w:rsidR="006A6017" w:rsidRPr="006A6017" w:rsidRDefault="006A6017" w:rsidP="006A6017">
      <w:pPr>
        <w:rPr>
          <w:b/>
          <w:bCs/>
        </w:rPr>
      </w:pPr>
      <w:r w:rsidRPr="006A6017">
        <w:rPr>
          <w:b/>
          <w:bCs/>
        </w:rPr>
        <w:t>Write at least 150 words.</w:t>
      </w:r>
    </w:p>
    <w:p w14:paraId="31DA52BC" w14:textId="6E05C628" w:rsidR="00104196" w:rsidRDefault="006A6017">
      <w:r w:rsidRPr="00F45412">
        <w:rPr>
          <w:noProof/>
        </w:rPr>
        <w:drawing>
          <wp:inline distT="0" distB="0" distL="0" distR="0" wp14:anchorId="6E8FE982" wp14:editId="37629358">
            <wp:extent cx="4742329" cy="2110630"/>
            <wp:effectExtent l="0" t="0" r="1270" b="4445"/>
            <wp:docPr id="1" name="Picture 1" descr="C:\Users\asus\Desktop\image line ch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Desktop\image line chart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2985" cy="21643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14:paraId="1FA4B22B" w14:textId="6CCBCED4" w:rsidR="00525988" w:rsidRPr="006A6017" w:rsidRDefault="00525988">
      <w:pPr>
        <w:rPr>
          <w:rFonts w:cstheme="minorHAnsi"/>
          <w:sz w:val="18"/>
          <w:szCs w:val="18"/>
        </w:rPr>
      </w:pPr>
    </w:p>
    <w:p w14:paraId="7815837D" w14:textId="77777777" w:rsidR="00525988" w:rsidRPr="00525988" w:rsidRDefault="00525988" w:rsidP="00525988">
      <w:pPr>
        <w:shd w:val="clear" w:color="auto" w:fill="FBFBFB"/>
        <w:spacing w:after="0" w:line="240" w:lineRule="auto"/>
        <w:rPr>
          <w:rFonts w:eastAsia="Times New Roman" w:cstheme="minorHAnsi"/>
          <w:color w:val="4B4B4B"/>
          <w:sz w:val="9"/>
          <w:szCs w:val="10"/>
        </w:rPr>
      </w:pPr>
      <w:r w:rsidRPr="00525988">
        <w:rPr>
          <w:rFonts w:eastAsia="Times New Roman" w:cstheme="minorHAnsi"/>
          <w:b/>
          <w:bCs/>
          <w:color w:val="4B4B4B"/>
          <w:szCs w:val="18"/>
        </w:rPr>
        <w:t>The bar chart illustrates how many houses the residents in the UK and Wales bought and leased during a period of 93 years from 1918.</w:t>
      </w:r>
    </w:p>
    <w:p w14:paraId="6C625BFA" w14:textId="005A99C1" w:rsidR="00525988" w:rsidRPr="00525988" w:rsidRDefault="00525988" w:rsidP="00525988">
      <w:pPr>
        <w:shd w:val="clear" w:color="auto" w:fill="FBFBFB"/>
        <w:spacing w:after="0" w:line="240" w:lineRule="auto"/>
        <w:rPr>
          <w:rFonts w:eastAsia="Times New Roman" w:cstheme="minorHAnsi"/>
          <w:color w:val="4B4B4B"/>
          <w:sz w:val="9"/>
          <w:szCs w:val="10"/>
        </w:rPr>
      </w:pPr>
      <w:r w:rsidRPr="00525988">
        <w:rPr>
          <w:rFonts w:eastAsia="Times New Roman" w:cstheme="minorHAnsi"/>
          <w:b/>
          <w:bCs/>
          <w:color w:val="4B4B4B"/>
          <w:szCs w:val="18"/>
        </w:rPr>
        <w:t xml:space="preserve">overall, as it can apparently be seen, the percentage of owning </w:t>
      </w:r>
      <w:r w:rsidRPr="006A6017">
        <w:rPr>
          <w:rFonts w:eastAsia="Times New Roman" w:cstheme="minorHAnsi"/>
          <w:b/>
          <w:bCs/>
          <w:color w:val="4B4B4B"/>
          <w:szCs w:val="18"/>
        </w:rPr>
        <w:t>accommodation</w:t>
      </w:r>
      <w:r w:rsidRPr="00525988">
        <w:rPr>
          <w:rFonts w:eastAsia="Times New Roman" w:cstheme="minorHAnsi"/>
          <w:b/>
          <w:bCs/>
          <w:color w:val="4B4B4B"/>
          <w:szCs w:val="18"/>
        </w:rPr>
        <w:t xml:space="preserve"> had an upward trend in the mentioned time, while the number of rented ones decreased considerably.</w:t>
      </w:r>
    </w:p>
    <w:p w14:paraId="146F728B" w14:textId="4BE05441" w:rsidR="00525988" w:rsidRPr="00525988" w:rsidRDefault="00525988" w:rsidP="00525988">
      <w:pPr>
        <w:shd w:val="clear" w:color="auto" w:fill="FBFBFB"/>
        <w:spacing w:after="0" w:line="240" w:lineRule="auto"/>
        <w:rPr>
          <w:rFonts w:eastAsia="Times New Roman" w:cstheme="minorHAnsi"/>
          <w:color w:val="4B4B4B"/>
          <w:sz w:val="9"/>
          <w:szCs w:val="10"/>
        </w:rPr>
      </w:pPr>
      <w:r w:rsidRPr="00525988">
        <w:rPr>
          <w:rFonts w:eastAsia="Times New Roman" w:cstheme="minorHAnsi"/>
          <w:b/>
          <w:bCs/>
          <w:color w:val="4B4B4B"/>
          <w:szCs w:val="18"/>
        </w:rPr>
        <w:t xml:space="preserve">To commence with, </w:t>
      </w:r>
      <w:r w:rsidRPr="006A6017">
        <w:rPr>
          <w:rFonts w:eastAsia="Times New Roman" w:cstheme="minorHAnsi"/>
          <w:b/>
          <w:bCs/>
          <w:color w:val="4B4B4B"/>
          <w:szCs w:val="18"/>
        </w:rPr>
        <w:t>approximately</w:t>
      </w:r>
      <w:r w:rsidRPr="00525988">
        <w:rPr>
          <w:rFonts w:eastAsia="Times New Roman" w:cstheme="minorHAnsi"/>
          <w:b/>
          <w:bCs/>
          <w:color w:val="4B4B4B"/>
          <w:szCs w:val="18"/>
        </w:rPr>
        <w:t xml:space="preserve"> 78% of households lived in rented houses comparing to only about 23% of owned residents in both countries. However, this significant difference </w:t>
      </w:r>
      <w:r w:rsidRPr="006A6017">
        <w:rPr>
          <w:rFonts w:eastAsia="Times New Roman" w:cstheme="minorHAnsi"/>
          <w:b/>
          <w:bCs/>
          <w:color w:val="4B4B4B"/>
          <w:szCs w:val="18"/>
        </w:rPr>
        <w:t>continued</w:t>
      </w:r>
      <w:r w:rsidRPr="00525988">
        <w:rPr>
          <w:rFonts w:eastAsia="Times New Roman" w:cstheme="minorHAnsi"/>
          <w:b/>
          <w:bCs/>
          <w:color w:val="4B4B4B"/>
          <w:szCs w:val="18"/>
        </w:rPr>
        <w:t xml:space="preserve"> to decre</w:t>
      </w:r>
      <w:r w:rsidRPr="006A6017">
        <w:rPr>
          <w:rFonts w:eastAsia="Times New Roman" w:cstheme="minorHAnsi"/>
          <w:b/>
          <w:bCs/>
          <w:color w:val="4B4B4B"/>
          <w:szCs w:val="18"/>
        </w:rPr>
        <w:t>a</w:t>
      </w:r>
      <w:r w:rsidRPr="00525988">
        <w:rPr>
          <w:rFonts w:eastAsia="Times New Roman" w:cstheme="minorHAnsi"/>
          <w:b/>
          <w:bCs/>
          <w:color w:val="4B4B4B"/>
          <w:szCs w:val="18"/>
        </w:rPr>
        <w:t xml:space="preserve">se over the period and in 1971, the number of rented and leased homes were equal at 50% each. </w:t>
      </w:r>
    </w:p>
    <w:p w14:paraId="61CA8DE1" w14:textId="31D4834D" w:rsidR="00525988" w:rsidRDefault="00525988" w:rsidP="00525988">
      <w:r w:rsidRPr="00525988">
        <w:br/>
      </w:r>
      <w:r w:rsidRPr="00525988">
        <w:rPr>
          <w:b/>
          <w:bCs/>
        </w:rPr>
        <w:t>In the next years from 1971, the tendency in the number of home ownership kept increasing and continued to 2001 when it reached to its peak of 70% and although it faced a small fall of 5%, its proportion was double the number of rented ones. The proportion of leased homes kept dropping till 2001; however, it had a small rise once more.</w:t>
      </w:r>
    </w:p>
    <w:sectPr w:rsidR="005259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988"/>
    <w:rsid w:val="00104196"/>
    <w:rsid w:val="00525988"/>
    <w:rsid w:val="006A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2FCCAC"/>
  <w15:chartTrackingRefBased/>
  <w15:docId w15:val="{E234B287-AA60-4318-9D95-BAF0D0E71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3144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81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1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javad torkashvand</dc:creator>
  <cp:keywords/>
  <dc:description/>
  <cp:lastModifiedBy>javad torkashvand</cp:lastModifiedBy>
  <cp:revision>1</cp:revision>
  <dcterms:created xsi:type="dcterms:W3CDTF">2023-01-30T14:14:00Z</dcterms:created>
  <dcterms:modified xsi:type="dcterms:W3CDTF">2023-01-30T14:28:00Z</dcterms:modified>
</cp:coreProperties>
</file>